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393555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5401AE" w:rsidRDefault="005401AE" w:rsidP="005401AE">
          <w:pPr>
            <w:pStyle w:val="Ttulodondice"/>
            <w:jc w:val="center"/>
          </w:pPr>
          <w:r>
            <w:t>Conteúdo</w:t>
          </w:r>
        </w:p>
        <w:p w:rsidR="005401AE" w:rsidRPr="005401AE" w:rsidRDefault="005401AE" w:rsidP="005401AE">
          <w:pPr>
            <w:rPr>
              <w:lang w:eastAsia="pt-PT"/>
            </w:rPr>
          </w:pPr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1278473" w:history="1">
            <w:r w:rsidRPr="00BE764F">
              <w:rPr>
                <w:rStyle w:val="Hiperligao"/>
                <w:noProof/>
                <w:lang w:eastAsia="pt-PT"/>
              </w:rPr>
              <w:t>1 — Identificação da entidade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74" w:history="1">
            <w:r w:rsidRPr="00BE764F">
              <w:rPr>
                <w:rStyle w:val="Hiperligao"/>
                <w:noProof/>
                <w:lang w:eastAsia="pt-PT"/>
              </w:rPr>
              <w:t>2 — Referencial contabilístico de preparação das demonstrações financeiras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75" w:history="1">
            <w:r w:rsidRPr="00BE764F">
              <w:rPr>
                <w:rStyle w:val="Hiperligao"/>
                <w:noProof/>
                <w:lang w:eastAsia="pt-PT"/>
              </w:rPr>
              <w:t>3 — Principais políticas contabilísticas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76" w:history="1">
            <w:r w:rsidRPr="00BE764F">
              <w:rPr>
                <w:rStyle w:val="Hiperligao"/>
                <w:noProof/>
                <w:lang w:eastAsia="pt-PT"/>
              </w:rPr>
              <w:t>4 — Políticas contabilísticas, alterações nas estimativas contabilísticas e erros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77" w:history="1">
            <w:r w:rsidRPr="00BE764F">
              <w:rPr>
                <w:rStyle w:val="Hiperligao"/>
                <w:noProof/>
                <w:lang w:eastAsia="pt-PT"/>
              </w:rPr>
              <w:t>5 — Activos fixos tangíveis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78" w:history="1">
            <w:r w:rsidRPr="00BE764F">
              <w:rPr>
                <w:rStyle w:val="Hiperligao"/>
                <w:noProof/>
                <w:lang w:eastAsia="pt-PT"/>
              </w:rPr>
              <w:t>6 — Activos intangíveis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79" w:history="1">
            <w:r w:rsidRPr="00BE764F">
              <w:rPr>
                <w:rStyle w:val="Hiperligao"/>
                <w:noProof/>
                <w:lang w:eastAsia="pt-PT"/>
              </w:rPr>
              <w:t>7 — Locações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0" w:history="1">
            <w:r w:rsidRPr="00BE764F">
              <w:rPr>
                <w:rStyle w:val="Hiperligao"/>
                <w:noProof/>
                <w:lang w:eastAsia="pt-PT"/>
              </w:rPr>
              <w:t>8 — Custos de empréstimos obtidos: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1" w:history="1">
            <w:r w:rsidRPr="00BE764F">
              <w:rPr>
                <w:rStyle w:val="Hiperligao"/>
                <w:noProof/>
                <w:lang w:eastAsia="pt-PT"/>
              </w:rPr>
              <w:t>9 — Inventários: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2" w:history="1">
            <w:r w:rsidRPr="00BE764F">
              <w:rPr>
                <w:rStyle w:val="Hiperligao"/>
                <w:noProof/>
                <w:lang w:eastAsia="pt-PT"/>
              </w:rPr>
              <w:t>10 — Rédito: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3" w:history="1">
            <w:r w:rsidRPr="00BE764F">
              <w:rPr>
                <w:rStyle w:val="Hiperligao"/>
                <w:noProof/>
                <w:lang w:eastAsia="pt-PT"/>
              </w:rPr>
              <w:t>11 — Provisões, passivos contingentes e activos contingentes: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4" w:history="1">
            <w:r w:rsidRPr="00BE764F">
              <w:rPr>
                <w:rStyle w:val="Hiperligao"/>
                <w:noProof/>
                <w:lang w:eastAsia="pt-PT"/>
              </w:rPr>
              <w:t>12 — Subsídios do Governo e apoios do Governo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5" w:history="1">
            <w:r w:rsidRPr="00BE764F">
              <w:rPr>
                <w:rStyle w:val="Hiperligao"/>
                <w:noProof/>
                <w:lang w:eastAsia="pt-PT"/>
              </w:rPr>
              <w:t>13 — Efeitos de alterações em taxas de câmbio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6" w:history="1">
            <w:r w:rsidRPr="00BE764F">
              <w:rPr>
                <w:rStyle w:val="Hiperligao"/>
                <w:noProof/>
                <w:lang w:eastAsia="pt-PT"/>
              </w:rPr>
              <w:t>14 — Impostos sobre o rendimento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7" w:history="1">
            <w:r w:rsidRPr="00BE764F">
              <w:rPr>
                <w:rStyle w:val="Hiperligao"/>
                <w:noProof/>
                <w:lang w:eastAsia="pt-PT"/>
              </w:rPr>
              <w:t>15 — Instrumentos financeiros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8" w:history="1">
            <w:r w:rsidRPr="00BE764F">
              <w:rPr>
                <w:rStyle w:val="Hiperligao"/>
                <w:noProof/>
                <w:lang w:eastAsia="pt-PT"/>
              </w:rPr>
              <w:t>16 — Benefícios dos empregados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89" w:history="1">
            <w:r w:rsidRPr="00BE764F">
              <w:rPr>
                <w:rStyle w:val="Hiperligao"/>
                <w:noProof/>
                <w:lang w:eastAsia="pt-PT"/>
              </w:rPr>
              <w:t>17 — Divulgações exigidas por outros diplomas legais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 w:rsidP="005401A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41278490" w:history="1">
            <w:r w:rsidRPr="00BE764F">
              <w:rPr>
                <w:rStyle w:val="Hiperligao"/>
                <w:noProof/>
                <w:lang w:eastAsia="pt-PT"/>
              </w:rPr>
              <w:t>18 — Outras informações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_Toc341278490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1AE" w:rsidRDefault="005401AE">
          <w:r>
            <w:rPr>
              <w:b/>
              <w:bCs/>
            </w:rPr>
            <w:fldChar w:fldCharType="end"/>
          </w:r>
        </w:p>
      </w:sdtContent>
    </w:sdt>
    <w:p w:rsidR="00572DEA" w:rsidRDefault="00572DEA">
      <w:pPr>
        <w:rPr>
          <w:rFonts w:ascii="FuturaLightBT" w:eastAsiaTheme="minorEastAsia" w:hAnsi="FuturaLightBT"/>
          <w:b/>
          <w:iCs/>
          <w:sz w:val="28"/>
          <w:szCs w:val="28"/>
          <w:lang w:eastAsia="pt-PT"/>
        </w:rPr>
      </w:pPr>
      <w:r>
        <w:rPr>
          <w:rFonts w:ascii="FuturaLightBT" w:eastAsiaTheme="minorEastAsia" w:hAnsi="FuturaLightBT"/>
          <w:b/>
          <w:iCs/>
          <w:sz w:val="28"/>
          <w:szCs w:val="28"/>
          <w:lang w:eastAsia="pt-PT"/>
        </w:rPr>
        <w:br w:type="page"/>
      </w:r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uturaLightBT" w:eastAsiaTheme="minorEastAsia" w:hAnsi="FuturaLightBT"/>
          <w:b/>
          <w:iCs/>
          <w:sz w:val="28"/>
          <w:szCs w:val="28"/>
          <w:lang w:eastAsia="pt-PT"/>
        </w:rPr>
      </w:pPr>
      <w:r w:rsidRPr="008A5C4D">
        <w:rPr>
          <w:rFonts w:ascii="FuturaLightBT" w:eastAsiaTheme="minorEastAsia" w:hAnsi="FuturaLightBT"/>
          <w:b/>
          <w:iCs/>
          <w:sz w:val="28"/>
          <w:szCs w:val="28"/>
          <w:lang w:eastAsia="pt-PT"/>
        </w:rPr>
        <w:lastRenderedPageBreak/>
        <w:t>ANEXO</w:t>
      </w:r>
    </w:p>
    <w:p w:rsidR="008A5C4D" w:rsidRPr="005401AE" w:rsidRDefault="008A5C4D" w:rsidP="005401AE">
      <w:pPr>
        <w:pStyle w:val="Cabealho2"/>
        <w:pBdr>
          <w:bottom w:val="single" w:sz="4" w:space="1" w:color="548DD4" w:themeColor="text2" w:themeTint="99"/>
        </w:pBdr>
        <w:rPr>
          <w:rFonts w:eastAsiaTheme="minorEastAsia"/>
          <w:sz w:val="24"/>
          <w:szCs w:val="24"/>
          <w:lang w:eastAsia="pt-PT"/>
        </w:rPr>
      </w:pPr>
      <w:r w:rsidRPr="008A5C4D">
        <w:rPr>
          <w:rFonts w:eastAsiaTheme="minorEastAsia" w:cstheme="minorBidi"/>
          <w:color w:val="auto"/>
          <w:sz w:val="22"/>
          <w:szCs w:val="22"/>
          <w:lang w:eastAsia="pt-PT"/>
        </w:rPr>
        <w:br/>
      </w:r>
      <w:bookmarkStart w:id="0" w:name="_Toc341278473"/>
      <w:r w:rsidRPr="005401AE">
        <w:rPr>
          <w:rFonts w:eastAsiaTheme="minorEastAsia"/>
          <w:sz w:val="24"/>
          <w:szCs w:val="24"/>
          <w:lang w:eastAsia="pt-PT"/>
        </w:rPr>
        <w:t>1 — Identificação da entidade</w:t>
      </w:r>
      <w:bookmarkEnd w:id="0"/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</w:r>
      <w:r>
        <w:rPr>
          <w:rFonts w:ascii="FuturaLightBT" w:eastAsiaTheme="minorEastAsia" w:hAnsi="FuturaLightBT"/>
          <w:iCs/>
          <w:lang w:eastAsia="pt-PT"/>
        </w:rPr>
        <w:t>1</w:t>
      </w:r>
      <w:r w:rsidRPr="008A5C4D">
        <w:rPr>
          <w:rFonts w:ascii="FuturaLightBT" w:eastAsiaTheme="minorEastAsia" w:hAnsi="FuturaLightBT"/>
          <w:iCs/>
          <w:lang w:eastAsia="pt-PT"/>
        </w:rPr>
        <w:t>.1 — Designaçã</w:t>
      </w:r>
      <w:r>
        <w:rPr>
          <w:rFonts w:ascii="FuturaLightBT" w:eastAsiaTheme="minorEastAsia" w:hAnsi="FuturaLightBT"/>
          <w:iCs/>
          <w:lang w:eastAsia="pt-PT"/>
        </w:rPr>
        <w:t>o da entidade:</w:t>
      </w:r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 xml:space="preserve">1.2 — </w:t>
      </w:r>
      <w:r>
        <w:rPr>
          <w:rFonts w:ascii="FuturaLightBT" w:eastAsiaTheme="minorEastAsia" w:hAnsi="FuturaLightBT"/>
          <w:iCs/>
          <w:lang w:eastAsia="pt-PT"/>
        </w:rPr>
        <w:t>Sede:</w:t>
      </w:r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1.3 — Natureza da actividade: _________________</w:t>
      </w:r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1.4 — Designação da empresa-mãe: _____________</w:t>
      </w:r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1.5 — Sede da empresa-mãe: __________________</w:t>
      </w:r>
    </w:p>
    <w:p w:rsidR="008A5C4D" w:rsidRPr="005401AE" w:rsidRDefault="008A5C4D" w:rsidP="005401AE">
      <w:pPr>
        <w:pStyle w:val="Cabealho2"/>
        <w:pBdr>
          <w:bottom w:val="single" w:sz="4" w:space="1" w:color="548DD4" w:themeColor="text2" w:themeTint="99"/>
        </w:pBdr>
        <w:rPr>
          <w:rFonts w:eastAsiaTheme="minorEastAsia"/>
          <w:sz w:val="24"/>
          <w:szCs w:val="24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1" w:name="_Toc341278474"/>
      <w:r w:rsidRPr="008A5C4D">
        <w:rPr>
          <w:rFonts w:eastAsiaTheme="minorEastAsia"/>
          <w:sz w:val="24"/>
          <w:szCs w:val="24"/>
          <w:lang w:eastAsia="pt-PT"/>
        </w:rPr>
        <w:t>2 — Referencial contabilístico de preparação das demonstrações financeiras</w:t>
      </w:r>
      <w:bookmarkEnd w:id="1"/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2.1 —</w:t>
      </w:r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2.2 — Indicação e justificação das disposições do SNC que, em casos excepcionais, tenham sido derrogadas e dos respectivos efeitos nas demonstrações financeiras, tendo em vista a necessidade de estas darem uma i</w:t>
      </w:r>
      <w:bookmarkStart w:id="2" w:name="_GoBack"/>
      <w:bookmarkEnd w:id="2"/>
      <w:r w:rsidRPr="008A5C4D">
        <w:rPr>
          <w:rFonts w:ascii="FuturaLightBT" w:eastAsiaTheme="minorEastAsia" w:hAnsi="FuturaLightBT"/>
          <w:iCs/>
          <w:lang w:eastAsia="pt-PT"/>
        </w:rPr>
        <w:t>magem verdadeira e apropriada do activo, do passivo e dos resultados da entidade.</w:t>
      </w:r>
    </w:p>
    <w:p w:rsidR="00572DEA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2.3 — Indicação e comentário das contas do balanço e da demonstração dos resultados cujos conteúdos não sejam comparáveis com os do exercício anterior.</w:t>
      </w:r>
      <w:r w:rsidRPr="008A5C4D">
        <w:rPr>
          <w:rFonts w:ascii="FuturaLightBT" w:eastAsiaTheme="minorEastAsia" w:hAnsi="FuturaLightBT"/>
          <w:iCs/>
          <w:lang w:eastAsia="pt-PT"/>
        </w:rPr>
        <w:br/>
      </w:r>
    </w:p>
    <w:p w:rsidR="00572DEA" w:rsidRPr="00572DEA" w:rsidRDefault="00572DEA" w:rsidP="005401AE">
      <w:pPr>
        <w:pStyle w:val="Cabealho2"/>
        <w:pBdr>
          <w:bottom w:val="single" w:sz="4" w:space="1" w:color="548DD4" w:themeColor="text2" w:themeTint="99"/>
        </w:pBdr>
        <w:rPr>
          <w:rFonts w:eastAsiaTheme="minorEastAsia"/>
          <w:sz w:val="24"/>
          <w:szCs w:val="24"/>
          <w:lang w:eastAsia="pt-PT"/>
        </w:rPr>
      </w:pPr>
      <w:bookmarkStart w:id="3" w:name="_Toc341278475"/>
      <w:r w:rsidRPr="005401AE">
        <w:rPr>
          <w:rFonts w:eastAsiaTheme="minorEastAsia"/>
          <w:sz w:val="24"/>
          <w:szCs w:val="24"/>
          <w:lang w:eastAsia="pt-PT"/>
        </w:rPr>
        <w:t>3 — Princ</w:t>
      </w:r>
      <w:r w:rsidR="005401AE">
        <w:rPr>
          <w:rFonts w:eastAsiaTheme="minorEastAsia"/>
          <w:sz w:val="24"/>
          <w:szCs w:val="24"/>
          <w:lang w:eastAsia="pt-PT"/>
        </w:rPr>
        <w:t>ipais políticas contabilísticas</w:t>
      </w:r>
      <w:bookmarkEnd w:id="3"/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 xml:space="preserve">3.1 — Bases de mensuração usadas na preparação </w:t>
      </w:r>
      <w:r>
        <w:rPr>
          <w:rFonts w:ascii="FuturaLightBT" w:eastAsiaTheme="minorEastAsia" w:hAnsi="FuturaLightBT"/>
          <w:iCs/>
          <w:lang w:eastAsia="pt-PT"/>
        </w:rPr>
        <w:t xml:space="preserve">das demonstrações financeiras: </w:t>
      </w:r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3.2 — Outras políticas contabilísticas:</w:t>
      </w:r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lastRenderedPageBreak/>
        <w:br/>
        <w:t xml:space="preserve">3.3 — Principais pressupostos relativos ao futuro: </w:t>
      </w:r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3.4 — Principais fontes de incerteza das estimativas:</w:t>
      </w:r>
    </w:p>
    <w:p w:rsidR="00572DEA" w:rsidRPr="005401AE" w:rsidRDefault="008A5C4D" w:rsidP="005401AE">
      <w:pPr>
        <w:pStyle w:val="Cabealho2"/>
        <w:pBdr>
          <w:bottom w:val="single" w:sz="4" w:space="1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4" w:name="_Toc341278476"/>
      <w:r w:rsidRPr="008A5C4D">
        <w:rPr>
          <w:rFonts w:eastAsiaTheme="minorEastAsia"/>
          <w:sz w:val="22"/>
          <w:szCs w:val="22"/>
          <w:lang w:eastAsia="pt-PT"/>
        </w:rPr>
        <w:t>4 — Políticas contabilísticas, alterações nas esti</w:t>
      </w:r>
      <w:r w:rsidR="005401AE">
        <w:rPr>
          <w:rFonts w:eastAsiaTheme="minorEastAsia"/>
          <w:sz w:val="22"/>
          <w:szCs w:val="22"/>
          <w:lang w:eastAsia="pt-PT"/>
        </w:rPr>
        <w:t>mativas contabilísticas e erros</w:t>
      </w:r>
      <w:bookmarkEnd w:id="4"/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4.1 — Quando a aplicação de uma disposição desta Norma tiver efeitos no período corrente ou em qualquer período anterior, salvo se for impraticável determinar a</w:t>
      </w: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ANEXO N.º 9 quantia do ajustamento, ou puder ter efeitos em períodos futuros, uma entidade deve divulgar apenas nas demonstrações financeiras do período corrente:</w:t>
      </w:r>
    </w:p>
    <w:p w:rsidR="008A5C4D" w:rsidRDefault="008A5C4D" w:rsidP="00572DEA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 natureza da alteração na política contabilística;</w:t>
      </w:r>
    </w:p>
    <w:p w:rsidR="008A5C4D" w:rsidRDefault="008A5C4D" w:rsidP="00572DEA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 natureza do erro material de período anterior e seus impactos nas demonstrações financeiras desses períodos;</w:t>
      </w:r>
    </w:p>
    <w:p w:rsidR="008A5C4D" w:rsidRDefault="008A5C4D" w:rsidP="00572DEA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 xml:space="preserve">A quantia de ajustamento relacionado com o período corrente ou períodos anteriores aos apresentados, até ao ponto que seja praticável; </w:t>
      </w:r>
      <w:proofErr w:type="gramStart"/>
      <w:r w:rsidRPr="008A5C4D">
        <w:rPr>
          <w:rFonts w:ascii="FuturaLightBT" w:eastAsiaTheme="minorEastAsia" w:hAnsi="FuturaLightBT"/>
          <w:iCs/>
          <w:lang w:eastAsia="pt-PT"/>
        </w:rPr>
        <w:t>e</w:t>
      </w:r>
      <w:proofErr w:type="gramEnd"/>
    </w:p>
    <w:p w:rsidR="008A5C4D" w:rsidRPr="008A5C4D" w:rsidRDefault="008A5C4D" w:rsidP="00572DEA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As razões pelas quais a aplicação da nova política contabilística proporciona informação fiável e mais relevante, no caso de aplicação voluntária.</w:t>
      </w:r>
    </w:p>
    <w:p w:rsidR="008A5C4D" w:rsidRPr="005401AE" w:rsidRDefault="008A5C4D" w:rsidP="005401AE">
      <w:pPr>
        <w:pStyle w:val="Cabealho2"/>
        <w:pBdr>
          <w:bottom w:val="single" w:sz="4" w:space="1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5" w:name="_Toc341278477"/>
      <w:r w:rsidR="005401AE">
        <w:rPr>
          <w:rFonts w:eastAsiaTheme="minorEastAsia"/>
          <w:sz w:val="22"/>
          <w:szCs w:val="22"/>
          <w:lang w:eastAsia="pt-PT"/>
        </w:rPr>
        <w:t>5 — Activos fixos tangíveis</w:t>
      </w:r>
      <w:bookmarkEnd w:id="5"/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5.1 — As demonstrações financeiras devem divulgar:</w:t>
      </w: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</w:p>
    <w:p w:rsidR="008A5C4D" w:rsidRDefault="008A5C4D" w:rsidP="004B4BEC">
      <w:pPr>
        <w:pStyle w:val="Pargrafoda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/>
        <w:jc w:val="both"/>
        <w:rPr>
          <w:rFonts w:ascii="FuturaLightBT" w:eastAsiaTheme="minorEastAsia" w:hAnsi="FuturaLightBT"/>
          <w:iCs/>
          <w:lang w:eastAsia="pt-PT"/>
        </w:rPr>
      </w:pPr>
      <w:proofErr w:type="gramStart"/>
      <w:r w:rsidRPr="008A5C4D">
        <w:rPr>
          <w:rFonts w:ascii="FuturaLightBT" w:eastAsiaTheme="minorEastAsia" w:hAnsi="FuturaLightBT"/>
          <w:iCs/>
          <w:lang w:eastAsia="pt-PT"/>
        </w:rPr>
        <w:t>Os critérios de mensuração usados para determinar</w:t>
      </w:r>
      <w:proofErr w:type="gramEnd"/>
      <w:r w:rsidRPr="008A5C4D">
        <w:rPr>
          <w:rFonts w:ascii="FuturaLightBT" w:eastAsiaTheme="minorEastAsia" w:hAnsi="FuturaLightBT"/>
          <w:iCs/>
          <w:lang w:eastAsia="pt-PT"/>
        </w:rPr>
        <w:t xml:space="preserve"> a quantia escriturada bruta;</w:t>
      </w:r>
    </w:p>
    <w:p w:rsidR="008A5C4D" w:rsidRDefault="008A5C4D" w:rsidP="004B4BEC">
      <w:pPr>
        <w:pStyle w:val="Pargrafoda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Os métodos de depreciação usados;</w:t>
      </w:r>
    </w:p>
    <w:p w:rsidR="008A5C4D" w:rsidRDefault="008A5C4D" w:rsidP="004B4BEC">
      <w:pPr>
        <w:pStyle w:val="Pargrafoda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As vidas úteis ou as taxas de depreciação usadas;</w:t>
      </w:r>
    </w:p>
    <w:p w:rsidR="008A5C4D" w:rsidRDefault="008A5C4D" w:rsidP="004B4BEC">
      <w:pPr>
        <w:pStyle w:val="Pargrafoda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lastRenderedPageBreak/>
        <w:t xml:space="preserve">A quantia escriturada bruta e a depreciação acumulada (agregada com perdas por imparidade acumuladas) </w:t>
      </w:r>
      <w:r>
        <w:rPr>
          <w:rFonts w:ascii="FuturaLightBT" w:eastAsiaTheme="minorEastAsia" w:hAnsi="FuturaLightBT"/>
          <w:iCs/>
          <w:lang w:eastAsia="pt-PT"/>
        </w:rPr>
        <w:t xml:space="preserve">no início e no fim do período; </w:t>
      </w:r>
    </w:p>
    <w:p w:rsidR="008A5C4D" w:rsidRPr="008A5C4D" w:rsidRDefault="008A5C4D" w:rsidP="004B4BEC">
      <w:pPr>
        <w:pStyle w:val="Pargrafoda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Uma reconciliação da quantia escriturada no início e no fim do período que mostre as adições, as revalorizações, as alienações, as amortizações, as perdas de imparidade e suas reversões e outras alterações.</w:t>
      </w: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5.2 — As demonstrações financeiras devem também divulgar:</w:t>
      </w:r>
    </w:p>
    <w:p w:rsidR="008A5C4D" w:rsidRDefault="008A5C4D" w:rsidP="00572DEA">
      <w:pPr>
        <w:pStyle w:val="PargrafodaList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 existência e quantias de restrições de titularidade e activos fixos tangíveis que sejam dados como garantia de passivos;</w:t>
      </w:r>
    </w:p>
    <w:p w:rsidR="008A5C4D" w:rsidRDefault="008A5C4D" w:rsidP="00572DEA">
      <w:pPr>
        <w:pStyle w:val="PargrafodaList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 xml:space="preserve"> A quantia de compromissos contratuais para aquisição de activos fixos tangí</w:t>
      </w:r>
      <w:r>
        <w:rPr>
          <w:rFonts w:ascii="FuturaLightBT" w:eastAsiaTheme="minorEastAsia" w:hAnsi="FuturaLightBT"/>
          <w:iCs/>
          <w:lang w:eastAsia="pt-PT"/>
        </w:rPr>
        <w:t>veis;</w:t>
      </w:r>
    </w:p>
    <w:p w:rsidR="008A5C4D" w:rsidRPr="008A5C4D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contextualSpacing/>
        <w:jc w:val="both"/>
        <w:rPr>
          <w:rFonts w:ascii="FuturaLightBT" w:eastAsiaTheme="minorEastAsia" w:hAnsi="FuturaLightBT"/>
          <w:iCs/>
          <w:lang w:eastAsia="pt-PT"/>
        </w:rPr>
      </w:pP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5.3 — Se os itens do activo fixo tangível forem expressos por quantias revalorizadas, deve ser divulgado o seguinte:</w:t>
      </w:r>
    </w:p>
    <w:p w:rsidR="008A5C4D" w:rsidRDefault="008A5C4D" w:rsidP="00572DEA">
      <w:pPr>
        <w:pStyle w:val="Pargrafoda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 data de eficácia da revalorização;</w:t>
      </w:r>
    </w:p>
    <w:p w:rsidR="008A5C4D" w:rsidRPr="008A5C4D" w:rsidRDefault="008A5C4D" w:rsidP="00572DEA">
      <w:pPr>
        <w:pStyle w:val="Pargrafoda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Os métodos e pressupostos aplicados nessa revalorização.</w:t>
      </w:r>
    </w:p>
    <w:p w:rsidR="008A5C4D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6" w:name="_Toc341278478"/>
      <w:r w:rsidR="005401AE">
        <w:rPr>
          <w:rFonts w:eastAsiaTheme="minorEastAsia"/>
          <w:sz w:val="22"/>
          <w:szCs w:val="22"/>
          <w:lang w:eastAsia="pt-PT"/>
        </w:rPr>
        <w:t>6 — Activos intangíveis</w:t>
      </w:r>
      <w:bookmarkEnd w:id="6"/>
    </w:p>
    <w:p w:rsid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br/>
        <w:t>6.1 — Uma entidade deve divulgar o seguinte para cada classe de activos intangíveis, distinguindo entre os activos intangíveis gerados internamente e outros activos</w:t>
      </w:r>
      <w:r>
        <w:rPr>
          <w:rFonts w:ascii="FuturaLightBT" w:eastAsiaTheme="minorEastAsia" w:hAnsi="FuturaLightBT"/>
          <w:iCs/>
          <w:lang w:eastAsia="pt-PT"/>
        </w:rPr>
        <w:t xml:space="preserve"> </w:t>
      </w:r>
      <w:r w:rsidRPr="008A5C4D">
        <w:rPr>
          <w:rFonts w:ascii="FuturaLightBT" w:eastAsiaTheme="minorEastAsia" w:hAnsi="FuturaLightBT"/>
          <w:iCs/>
          <w:lang w:eastAsia="pt-PT"/>
        </w:rPr>
        <w:t>intangíveis:</w:t>
      </w: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</w:p>
    <w:p w:rsidR="008A5C4D" w:rsidRPr="008A5C4D" w:rsidRDefault="008A5C4D" w:rsidP="00572DEA">
      <w:pPr>
        <w:pStyle w:val="PargrafodaList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Se as vidas úteis são indefinidas ou finitas e, se forem finitas, as vidas úteis ou as taxas de amortização usadas;</w:t>
      </w:r>
    </w:p>
    <w:p w:rsidR="008A5C4D" w:rsidRDefault="008A5C4D" w:rsidP="00572DEA">
      <w:pPr>
        <w:pStyle w:val="PargrafodaList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proofErr w:type="gramStart"/>
      <w:r w:rsidRPr="008A5C4D">
        <w:rPr>
          <w:rFonts w:ascii="FuturaLightBT" w:eastAsiaTheme="minorEastAsia" w:hAnsi="FuturaLightBT"/>
          <w:iCs/>
          <w:lang w:eastAsia="pt-PT"/>
        </w:rPr>
        <w:t>Os métodos de amortização usados para</w:t>
      </w:r>
      <w:proofErr w:type="gramEnd"/>
      <w:r w:rsidRPr="008A5C4D">
        <w:rPr>
          <w:rFonts w:ascii="FuturaLightBT" w:eastAsiaTheme="minorEastAsia" w:hAnsi="FuturaLightBT"/>
          <w:iCs/>
          <w:lang w:eastAsia="pt-PT"/>
        </w:rPr>
        <w:t xml:space="preserve"> activos intangíveis com vidas úteis finitas;</w:t>
      </w:r>
    </w:p>
    <w:p w:rsidR="008A5C4D" w:rsidRDefault="008A5C4D" w:rsidP="00572DEA">
      <w:pPr>
        <w:pStyle w:val="PargrafodaList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 quantia bruta escriturada e qualquer amortização acumulada (agregada com as perdas por imparidade acumuladas) no começo e fim do período;</w:t>
      </w:r>
    </w:p>
    <w:p w:rsidR="008A5C4D" w:rsidRPr="008A5C4D" w:rsidRDefault="008A5C4D" w:rsidP="00572DEA">
      <w:pPr>
        <w:pStyle w:val="PargrafodaList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lastRenderedPageBreak/>
        <w:t>Uma reconciliação da quantia escriturada no começo e fim do período que mostre separadamente as adições, as alienações, as amortizações, as perdas por imparidade e outras alterações.</w:t>
      </w: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6.2 — Uma entidade deve também divulgar:</w:t>
      </w:r>
    </w:p>
    <w:p w:rsidR="008A5C4D" w:rsidRDefault="008A5C4D" w:rsidP="00572DEA">
      <w:pPr>
        <w:pStyle w:val="Pargrafoda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 xml:space="preserve">Para um activo intangível avaliado como tendo uma vida útil indefinida, a quantia escriturada desse activo e as razões que apoiam a avaliação de uma vida útil indefinida. Ao apresentar estas razões, a entidade deve descrever </w:t>
      </w:r>
      <w:proofErr w:type="gramStart"/>
      <w:r w:rsidRPr="008A5C4D">
        <w:rPr>
          <w:rFonts w:ascii="FuturaLightBT" w:eastAsiaTheme="minorEastAsia" w:hAnsi="FuturaLightBT"/>
          <w:iCs/>
          <w:lang w:eastAsia="pt-PT"/>
        </w:rPr>
        <w:t>o(s</w:t>
      </w:r>
      <w:proofErr w:type="gramEnd"/>
      <w:r w:rsidRPr="008A5C4D">
        <w:rPr>
          <w:rFonts w:ascii="FuturaLightBT" w:eastAsiaTheme="minorEastAsia" w:hAnsi="FuturaLightBT"/>
          <w:iCs/>
          <w:lang w:eastAsia="pt-PT"/>
        </w:rPr>
        <w:t>) factor(</w:t>
      </w:r>
      <w:proofErr w:type="spellStart"/>
      <w:r w:rsidRPr="008A5C4D">
        <w:rPr>
          <w:rFonts w:ascii="FuturaLightBT" w:eastAsiaTheme="minorEastAsia" w:hAnsi="FuturaLightBT"/>
          <w:iCs/>
          <w:lang w:eastAsia="pt-PT"/>
        </w:rPr>
        <w:t>es</w:t>
      </w:r>
      <w:proofErr w:type="spellEnd"/>
      <w:r w:rsidRPr="008A5C4D">
        <w:rPr>
          <w:rFonts w:ascii="FuturaLightBT" w:eastAsiaTheme="minorEastAsia" w:hAnsi="FuturaLightBT"/>
          <w:iCs/>
          <w:lang w:eastAsia="pt-PT"/>
        </w:rPr>
        <w:t>) que desempenhou(aram) um papel significativo na determinação de que o activo tem uma vida útil indefinida;</w:t>
      </w:r>
    </w:p>
    <w:p w:rsidR="008A5C4D" w:rsidRDefault="008A5C4D" w:rsidP="00572DEA">
      <w:pPr>
        <w:pStyle w:val="Pargrafoda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Uma descrição, a quantia escriturada e o período de amortização restante de qualquer activo intangível individual que seja materialmente relevante para as demonstrações financeiras da entidade;</w:t>
      </w:r>
    </w:p>
    <w:p w:rsidR="008A5C4D" w:rsidRDefault="008A5C4D" w:rsidP="00572DEA">
      <w:pPr>
        <w:pStyle w:val="Pargrafoda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Para os activos intangíveis adquiridos por meio de um subsídio do governo e inicialmente reconhecidos pelo justo valor, a quantia inicialmente reconhecida e a sua quantia escriturada actualmente;</w:t>
      </w:r>
    </w:p>
    <w:p w:rsidR="008A5C4D" w:rsidRDefault="008A5C4D" w:rsidP="00572DEA">
      <w:pPr>
        <w:pStyle w:val="Pargrafoda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 existência e as quantias escrituradas de activos intangíveis cuja titularidade esteja restringida e as quantias escrituradas de activos intangíveis dados como garantia de passivos;</w:t>
      </w:r>
    </w:p>
    <w:p w:rsidR="008A5C4D" w:rsidRPr="008A5C4D" w:rsidRDefault="008A5C4D" w:rsidP="00572DEA">
      <w:pPr>
        <w:pStyle w:val="Pargrafoda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 quantia de compromissos contratuais para aquisição de activos intangíveis.</w:t>
      </w: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6.3 — Uma entidade deve divulgar a quantia agregada do dispêndio de pesquisa e desenvolvimento reconhecido como um gasto durante o período.</w:t>
      </w: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br/>
        <w:t>6.4 — Relativamente aos activos intangíveis de carácter ambiental, uma entidade deve divulgar:</w:t>
      </w:r>
    </w:p>
    <w:p w:rsidR="008A5C4D" w:rsidRDefault="008A5C4D" w:rsidP="00572DEA">
      <w:pPr>
        <w:pStyle w:val="PargrafodaList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Descrição dos critérios de mensuração adoptados, bem como dos métodos utilizados no cálculo dos ajustamentos de valor, no que respeita a matérias ambientais;</w:t>
      </w:r>
    </w:p>
    <w:p w:rsidR="008A5C4D" w:rsidRDefault="008A5C4D" w:rsidP="00572DEA">
      <w:pPr>
        <w:pStyle w:val="PargrafodaList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 xml:space="preserve">Os incentivos públicos relacionados com a protecção ambiental, recebidos ou atribuídos à entidade. Especificação das condições </w:t>
      </w:r>
      <w:r w:rsidRPr="008A5C4D">
        <w:rPr>
          <w:rFonts w:ascii="FuturaLightBT" w:eastAsiaTheme="minorEastAsia" w:hAnsi="FuturaLightBT"/>
          <w:iCs/>
          <w:lang w:eastAsia="pt-PT"/>
        </w:rPr>
        <w:lastRenderedPageBreak/>
        <w:t>associadas à concessão de cada incentivo ou uma síntese das condições, caso sejam semelhantes.</w:t>
      </w:r>
    </w:p>
    <w:p w:rsidR="008A5C4D" w:rsidRDefault="008A5C4D" w:rsidP="00572DEA">
      <w:pPr>
        <w:pStyle w:val="PargrafodaList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Quantia dos dispêndios de carácter ambiental capitalizadas durante o período de referência na medida em que possa ser estimada com fiabilidade.</w:t>
      </w:r>
    </w:p>
    <w:p w:rsidR="008A5C4D" w:rsidRDefault="008A5C4D" w:rsidP="00572DEA">
      <w:pPr>
        <w:pStyle w:val="PargrafodaList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Quantia dos dispêndios de carácter ambiental imputados a resultados e base em que tais quantias foram calculadas.</w:t>
      </w:r>
    </w:p>
    <w:p w:rsidR="008A5C4D" w:rsidRPr="008A5C4D" w:rsidRDefault="008A5C4D" w:rsidP="00572DEA">
      <w:pPr>
        <w:pStyle w:val="PargrafodaList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72" w:hanging="675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Caso sejam significativos, os dispêndios incorridos com multas e outras penalidades pelo não cumprimento dos regulamentos ambientais e indemnizações pagas a terceiros, por exemplo em resultado de perdas ou danos causados por uma poluição ambiental passada.</w:t>
      </w:r>
    </w:p>
    <w:p w:rsidR="004B4BEC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7" w:name="_Toc341278479"/>
      <w:r w:rsidRPr="008A5C4D">
        <w:rPr>
          <w:rFonts w:eastAsiaTheme="minorEastAsia"/>
          <w:sz w:val="22"/>
          <w:szCs w:val="22"/>
          <w:lang w:eastAsia="pt-PT"/>
        </w:rPr>
        <w:t>7</w:t>
      </w:r>
      <w:r w:rsidR="004B4BEC" w:rsidRPr="005401AE">
        <w:rPr>
          <w:rFonts w:eastAsiaTheme="minorEastAsia"/>
          <w:sz w:val="22"/>
          <w:szCs w:val="22"/>
          <w:lang w:eastAsia="pt-PT"/>
        </w:rPr>
        <w:t xml:space="preserve"> </w:t>
      </w:r>
      <w:r w:rsidR="005401AE">
        <w:rPr>
          <w:rFonts w:eastAsiaTheme="minorEastAsia"/>
          <w:sz w:val="22"/>
          <w:szCs w:val="22"/>
          <w:lang w:eastAsia="pt-PT"/>
        </w:rPr>
        <w:t>— Locações</w:t>
      </w:r>
      <w:bookmarkEnd w:id="7"/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br/>
        <w:t>7.1 — Para locações financeiras, os locatários devem divulgar para cada categoria de activo, a quantia escriturada líquida à data do balanço.</w:t>
      </w: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br/>
        <w:t>7.2 — Para locações financeiras e operacionais, os locatários devem divulgar uma descrição geral dos acordos de locação significativos incluindo, pelo menos, o seguinte:</w:t>
      </w:r>
    </w:p>
    <w:p w:rsidR="00572DEA" w:rsidRDefault="008A5C4D" w:rsidP="00572DEA">
      <w:pPr>
        <w:pStyle w:val="PargrafodaList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572DEA">
        <w:rPr>
          <w:rFonts w:ascii="FuturaLightBT" w:eastAsiaTheme="minorEastAsia" w:hAnsi="FuturaLightBT"/>
          <w:iCs/>
          <w:lang w:eastAsia="pt-PT"/>
        </w:rPr>
        <w:t>A base pela qual é determinada a renda contingente a pagar;</w:t>
      </w:r>
    </w:p>
    <w:p w:rsidR="00572DEA" w:rsidRPr="00572DEA" w:rsidRDefault="008A5C4D" w:rsidP="00572DEA">
      <w:pPr>
        <w:pStyle w:val="PargrafodaList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572DEA">
        <w:rPr>
          <w:rFonts w:ascii="FuturaLightBT" w:eastAsiaTheme="minorEastAsia" w:hAnsi="FuturaLightBT"/>
          <w:iCs/>
          <w:lang w:eastAsia="pt-PT"/>
        </w:rPr>
        <w:t>A existência e cláusulas de renovação ou de opções de compra</w:t>
      </w:r>
      <w:r w:rsidR="00572DEA">
        <w:rPr>
          <w:rFonts w:ascii="FuturaLightBT" w:eastAsiaTheme="minorEastAsia" w:hAnsi="FuturaLightBT"/>
          <w:iCs/>
          <w:lang w:eastAsia="pt-PT"/>
        </w:rPr>
        <w:t xml:space="preserve"> e cláusulas de escalonamento;</w:t>
      </w:r>
    </w:p>
    <w:p w:rsidR="008A5C4D" w:rsidRPr="00572DEA" w:rsidRDefault="008A5C4D" w:rsidP="00572DEA">
      <w:pPr>
        <w:pStyle w:val="PargrafodaList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572DEA">
        <w:rPr>
          <w:rFonts w:ascii="FuturaLightBT" w:eastAsiaTheme="minorEastAsia" w:hAnsi="FuturaLightBT"/>
          <w:iCs/>
          <w:lang w:eastAsia="pt-PT"/>
        </w:rPr>
        <w:t>Restrições impostas por acordos de locação, tais como as que respeitam a dividendos, dívida adicional, e posterior locação.</w:t>
      </w: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7.3 — Os locadores devem fazer as seguintes divulgações para as locações operacionais:</w:t>
      </w:r>
    </w:p>
    <w:p w:rsidR="008A5C4D" w:rsidRPr="008A5C4D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a) Os futuros pagamentos mínimos da locação sob locações operacionais não canceláveis no agregado e para cada um dos períodos seguintes;</w:t>
      </w:r>
    </w:p>
    <w:p w:rsidR="00572DEA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i) Não mais de um ano;</w:t>
      </w:r>
    </w:p>
    <w:p w:rsidR="00572DEA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FuturaLightBT" w:eastAsiaTheme="minorEastAsia" w:hAnsi="FuturaLightBT"/>
          <w:iCs/>
          <w:lang w:eastAsia="pt-PT"/>
        </w:rPr>
      </w:pPr>
      <w:proofErr w:type="gramStart"/>
      <w:r w:rsidRPr="008A5C4D">
        <w:rPr>
          <w:rFonts w:ascii="FuturaLightBT" w:eastAsiaTheme="minorEastAsia" w:hAnsi="FuturaLightBT"/>
          <w:iCs/>
          <w:lang w:eastAsia="pt-PT"/>
        </w:rPr>
        <w:t>ii</w:t>
      </w:r>
      <w:proofErr w:type="gramEnd"/>
      <w:r w:rsidRPr="008A5C4D">
        <w:rPr>
          <w:rFonts w:ascii="FuturaLightBT" w:eastAsiaTheme="minorEastAsia" w:hAnsi="FuturaLightBT"/>
          <w:iCs/>
          <w:lang w:eastAsia="pt-PT"/>
        </w:rPr>
        <w:t>) Mais de um ano e não mais de cinco anos;</w:t>
      </w:r>
    </w:p>
    <w:p w:rsidR="008A5C4D" w:rsidRPr="008A5C4D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FuturaLightBT" w:eastAsiaTheme="minorEastAsia" w:hAnsi="FuturaLightBT"/>
          <w:iCs/>
          <w:lang w:eastAsia="pt-PT"/>
        </w:rPr>
      </w:pPr>
      <w:proofErr w:type="gramStart"/>
      <w:r w:rsidRPr="008A5C4D">
        <w:rPr>
          <w:rFonts w:ascii="FuturaLightBT" w:eastAsiaTheme="minorEastAsia" w:hAnsi="FuturaLightBT"/>
          <w:iCs/>
          <w:lang w:eastAsia="pt-PT"/>
        </w:rPr>
        <w:lastRenderedPageBreak/>
        <w:t>iii</w:t>
      </w:r>
      <w:proofErr w:type="gramEnd"/>
      <w:r w:rsidRPr="008A5C4D">
        <w:rPr>
          <w:rFonts w:ascii="FuturaLightBT" w:eastAsiaTheme="minorEastAsia" w:hAnsi="FuturaLightBT"/>
          <w:iCs/>
          <w:lang w:eastAsia="pt-PT"/>
        </w:rPr>
        <w:t>) Mais de cinco anos;</w:t>
      </w:r>
    </w:p>
    <w:p w:rsidR="00572DEA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 xml:space="preserve">b) O total das rendas </w:t>
      </w:r>
      <w:proofErr w:type="gramStart"/>
      <w:r w:rsidRPr="008A5C4D">
        <w:rPr>
          <w:rFonts w:ascii="FuturaLightBT" w:eastAsiaTheme="minorEastAsia" w:hAnsi="FuturaLightBT"/>
          <w:iCs/>
          <w:lang w:eastAsia="pt-PT"/>
        </w:rPr>
        <w:t>contingentes</w:t>
      </w:r>
      <w:proofErr w:type="gramEnd"/>
      <w:r w:rsidRPr="008A5C4D">
        <w:rPr>
          <w:rFonts w:ascii="FuturaLightBT" w:eastAsiaTheme="minorEastAsia" w:hAnsi="FuturaLightBT"/>
          <w:iCs/>
          <w:lang w:eastAsia="pt-PT"/>
        </w:rPr>
        <w:t xml:space="preserve"> reconhecidas como rendimento durante o período;</w:t>
      </w:r>
    </w:p>
    <w:p w:rsidR="008A5C4D" w:rsidRPr="008A5C4D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c) Uma descrição global dos acordos de locação do locador.</w:t>
      </w:r>
    </w:p>
    <w:p w:rsidR="00572DEA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8" w:name="_Toc341278480"/>
      <w:r w:rsidRPr="008A5C4D">
        <w:rPr>
          <w:rFonts w:eastAsiaTheme="minorEastAsia"/>
          <w:sz w:val="22"/>
          <w:szCs w:val="22"/>
          <w:lang w:eastAsia="pt-PT"/>
        </w:rPr>
        <w:t>8 — Custos de empréstimos obtidos:</w:t>
      </w:r>
      <w:bookmarkEnd w:id="8"/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8.1 — As demonstrações financeiras devem divulgar:</w:t>
      </w:r>
    </w:p>
    <w:p w:rsidR="008A5C4D" w:rsidRPr="008A5C4D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a) A política contabilística adoptada nos custos dos empréstimos obtidos;</w:t>
      </w:r>
      <w:r w:rsidRPr="008A5C4D">
        <w:rPr>
          <w:rFonts w:ascii="FuturaLightBT" w:eastAsiaTheme="minorEastAsia" w:hAnsi="FuturaLightBT"/>
          <w:iCs/>
          <w:lang w:eastAsia="pt-PT"/>
        </w:rPr>
        <w:br/>
        <w:t>b) A quantia de custos de empréstimos obtidos capitalizada durante o período; e</w:t>
      </w:r>
      <w:r w:rsidRPr="008A5C4D">
        <w:rPr>
          <w:rFonts w:ascii="FuturaLightBT" w:eastAsiaTheme="minorEastAsia" w:hAnsi="FuturaLightBT"/>
          <w:iCs/>
          <w:lang w:eastAsia="pt-PT"/>
        </w:rPr>
        <w:br/>
        <w:t>c) A taxa de capitalização usada para determinar a quantia do custo dos empréstimos obtidos elegíveis para capitalização.</w:t>
      </w:r>
    </w:p>
    <w:p w:rsidR="00572DEA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9" w:name="_Toc341278481"/>
      <w:r w:rsidRPr="008A5C4D">
        <w:rPr>
          <w:rFonts w:eastAsiaTheme="minorEastAsia"/>
          <w:sz w:val="22"/>
          <w:szCs w:val="22"/>
          <w:lang w:eastAsia="pt-PT"/>
        </w:rPr>
        <w:t>9 — Inventários:</w:t>
      </w:r>
      <w:bookmarkEnd w:id="9"/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9.1 — As demonstrações financeiras devem divulgar:</w:t>
      </w:r>
    </w:p>
    <w:p w:rsidR="008A5C4D" w:rsidRPr="008A5C4D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a) As políticas contabilísticas adoptadas na mensuração dos inventários, incluindo a fórmula de custeio usada;</w:t>
      </w:r>
      <w:r w:rsidRPr="008A5C4D">
        <w:rPr>
          <w:rFonts w:ascii="FuturaLightBT" w:eastAsiaTheme="minorEastAsia" w:hAnsi="FuturaLightBT"/>
          <w:iCs/>
          <w:lang w:eastAsia="pt-PT"/>
        </w:rPr>
        <w:br/>
        <w:t>b) A quantia total escriturada de inventários e a quantia escriturada em classificações apropriadas para a entidade;</w:t>
      </w:r>
      <w:r w:rsidRPr="008A5C4D">
        <w:rPr>
          <w:rFonts w:ascii="FuturaLightBT" w:eastAsiaTheme="minorEastAsia" w:hAnsi="FuturaLightBT"/>
          <w:iCs/>
          <w:lang w:eastAsia="pt-PT"/>
        </w:rPr>
        <w:br/>
        <w:t>c) A quantia de inventários escriturada pelo justo valor menos os custos de vender;</w:t>
      </w:r>
      <w:r w:rsidRPr="008A5C4D">
        <w:rPr>
          <w:rFonts w:ascii="FuturaLightBT" w:eastAsiaTheme="minorEastAsia" w:hAnsi="FuturaLightBT"/>
          <w:iCs/>
          <w:lang w:eastAsia="pt-PT"/>
        </w:rPr>
        <w:br/>
        <w:t>d) A quantia de inventários reconhecida como um gasto durante o período;</w:t>
      </w:r>
      <w:r w:rsidRPr="008A5C4D">
        <w:rPr>
          <w:rFonts w:ascii="FuturaLightBT" w:eastAsiaTheme="minorEastAsia" w:hAnsi="FuturaLightBT"/>
          <w:iCs/>
          <w:lang w:eastAsia="pt-PT"/>
        </w:rPr>
        <w:br/>
        <w:t>e) A quantia de qualquer ajustamento de inventários reconhecida como um gasto do período de acordo com o parágrafo 11.20;</w:t>
      </w:r>
      <w:r w:rsidRPr="008A5C4D">
        <w:rPr>
          <w:rFonts w:ascii="FuturaLightBT" w:eastAsiaTheme="minorEastAsia" w:hAnsi="FuturaLightBT"/>
          <w:iCs/>
          <w:lang w:eastAsia="pt-PT"/>
        </w:rPr>
        <w:br/>
        <w:t>f) A quantia de qualquer reversão de ajustamento que tenha sido reconhecida como uma redução na quantia de inventários reconhecida como gasto do período de acordo com o parágrafo 11.20;</w:t>
      </w:r>
      <w:r w:rsidRPr="008A5C4D">
        <w:rPr>
          <w:rFonts w:ascii="FuturaLightBT" w:eastAsiaTheme="minorEastAsia" w:hAnsi="FuturaLightBT"/>
          <w:iCs/>
          <w:lang w:eastAsia="pt-PT"/>
        </w:rPr>
        <w:br/>
        <w:t>g) As circunstâncias ou acontecimentos que conduziram à reversão de um ajustamento de inventários de acordo com o parágrafo 11.20; e</w:t>
      </w: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lastRenderedPageBreak/>
        <w:t>h) A quantia escriturada de inventários dados como penhor de garantia a passivos.</w:t>
      </w:r>
    </w:p>
    <w:p w:rsidR="004B4BEC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10" w:name="_Toc341278482"/>
      <w:r w:rsidRPr="008A5C4D">
        <w:rPr>
          <w:rFonts w:eastAsiaTheme="minorEastAsia"/>
          <w:sz w:val="22"/>
          <w:szCs w:val="22"/>
          <w:lang w:eastAsia="pt-PT"/>
        </w:rPr>
        <w:t>10 — Rédito:</w:t>
      </w:r>
      <w:bookmarkEnd w:id="10"/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10.1 — Uma entidade deve divulgar:</w:t>
      </w:r>
    </w:p>
    <w:p w:rsidR="004B4BEC" w:rsidRDefault="008A5C4D" w:rsidP="00572DEA">
      <w:pPr>
        <w:pStyle w:val="Pargrafoda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 w:firstLine="0"/>
        <w:contextualSpacing w:val="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As políticas contabilísticas adoptadas para o reconhecimento do rédito incluindo os métodos adoptados para determinar a fase de acabamento de transacções que envolvam a prestação de serviços;</w:t>
      </w:r>
    </w:p>
    <w:p w:rsidR="008A5C4D" w:rsidRDefault="008A5C4D" w:rsidP="00572DEA">
      <w:pPr>
        <w:pStyle w:val="Pargrafoda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 w:firstLine="0"/>
        <w:contextualSpacing w:val="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 xml:space="preserve">A quantia de cada categoria significativa de rédito reconhecida durante o período incluindo o rédito proveniente </w:t>
      </w:r>
      <w:proofErr w:type="gramStart"/>
      <w:r w:rsidRPr="004B4BEC">
        <w:rPr>
          <w:rFonts w:ascii="FuturaLightBT" w:eastAsiaTheme="minorEastAsia" w:hAnsi="FuturaLightBT"/>
          <w:iCs/>
          <w:lang w:eastAsia="pt-PT"/>
        </w:rPr>
        <w:t>de</w:t>
      </w:r>
      <w:proofErr w:type="gramEnd"/>
      <w:r w:rsidRPr="004B4BEC">
        <w:rPr>
          <w:rFonts w:ascii="FuturaLightBT" w:eastAsiaTheme="minorEastAsia" w:hAnsi="FuturaLightBT"/>
          <w:iCs/>
          <w:lang w:eastAsia="pt-PT"/>
        </w:rPr>
        <w:t>:</w:t>
      </w:r>
    </w:p>
    <w:p w:rsidR="004B4BEC" w:rsidRPr="00572DEA" w:rsidRDefault="008A5C4D" w:rsidP="00572DEA">
      <w:pPr>
        <w:pStyle w:val="PargrafodaLista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572DEA">
        <w:rPr>
          <w:rFonts w:ascii="FuturaLightBT" w:eastAsiaTheme="minorEastAsia" w:hAnsi="FuturaLightBT"/>
          <w:iCs/>
          <w:lang w:eastAsia="pt-PT"/>
        </w:rPr>
        <w:t>Venda de bens;</w:t>
      </w:r>
    </w:p>
    <w:p w:rsidR="004B4BEC" w:rsidRPr="00572DEA" w:rsidRDefault="008A5C4D" w:rsidP="00572DEA">
      <w:pPr>
        <w:pStyle w:val="PargrafodaLista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572DEA">
        <w:rPr>
          <w:rFonts w:ascii="FuturaLightBT" w:eastAsiaTheme="minorEastAsia" w:hAnsi="FuturaLightBT"/>
          <w:iCs/>
          <w:lang w:eastAsia="pt-PT"/>
        </w:rPr>
        <w:t>Prestação de serviços;</w:t>
      </w:r>
    </w:p>
    <w:p w:rsidR="004B4BEC" w:rsidRPr="00572DEA" w:rsidRDefault="008A5C4D" w:rsidP="00572DEA">
      <w:pPr>
        <w:pStyle w:val="PargrafodaLista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572DEA">
        <w:rPr>
          <w:rFonts w:ascii="FuturaLightBT" w:eastAsiaTheme="minorEastAsia" w:hAnsi="FuturaLightBT"/>
          <w:iCs/>
          <w:lang w:eastAsia="pt-PT"/>
        </w:rPr>
        <w:t>Juros;</w:t>
      </w:r>
    </w:p>
    <w:p w:rsidR="004B4BEC" w:rsidRPr="00572DEA" w:rsidRDefault="004B4BEC" w:rsidP="00572DEA">
      <w:pPr>
        <w:pStyle w:val="PargrafodaLista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572DEA">
        <w:rPr>
          <w:rFonts w:ascii="FuturaLightBT" w:eastAsiaTheme="minorEastAsia" w:hAnsi="FuturaLightBT"/>
          <w:iCs/>
          <w:lang w:eastAsia="pt-PT"/>
        </w:rPr>
        <w:t>Royalties;</w:t>
      </w:r>
    </w:p>
    <w:p w:rsidR="008A5C4D" w:rsidRPr="00572DEA" w:rsidRDefault="008A5C4D" w:rsidP="00572DEA">
      <w:pPr>
        <w:pStyle w:val="PargrafodaLista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572DEA">
        <w:rPr>
          <w:rFonts w:ascii="FuturaLightBT" w:eastAsiaTheme="minorEastAsia" w:hAnsi="FuturaLightBT"/>
          <w:iCs/>
          <w:lang w:eastAsia="pt-PT"/>
        </w:rPr>
        <w:t>Dividendos.</w:t>
      </w: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</w:p>
    <w:p w:rsidR="004B4BEC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bookmarkStart w:id="11" w:name="_Toc341278483"/>
      <w:r w:rsidRPr="008A5C4D">
        <w:rPr>
          <w:rFonts w:eastAsiaTheme="minorEastAsia"/>
          <w:sz w:val="22"/>
          <w:szCs w:val="22"/>
          <w:lang w:eastAsia="pt-PT"/>
        </w:rPr>
        <w:t xml:space="preserve">11 — </w:t>
      </w:r>
      <w:proofErr w:type="gramStart"/>
      <w:r w:rsidRPr="008A5C4D">
        <w:rPr>
          <w:rFonts w:eastAsiaTheme="minorEastAsia"/>
          <w:sz w:val="22"/>
          <w:szCs w:val="22"/>
          <w:lang w:eastAsia="pt-PT"/>
        </w:rPr>
        <w:t>Provisões, passivos contingentes e activos contingentes</w:t>
      </w:r>
      <w:proofErr w:type="gramEnd"/>
      <w:r w:rsidRPr="008A5C4D">
        <w:rPr>
          <w:rFonts w:eastAsiaTheme="minorEastAsia"/>
          <w:sz w:val="22"/>
          <w:szCs w:val="22"/>
          <w:lang w:eastAsia="pt-PT"/>
        </w:rPr>
        <w:t>:</w:t>
      </w:r>
      <w:bookmarkEnd w:id="11"/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11.1 — Para cada classe de provisão, uma entidade deve divulgar:</w:t>
      </w:r>
    </w:p>
    <w:p w:rsidR="004B4BEC" w:rsidRDefault="008A5C4D" w:rsidP="00572DEA">
      <w:pPr>
        <w:pStyle w:val="PargrafodaList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 quantia escriturada no começo e no fim do período;</w:t>
      </w:r>
    </w:p>
    <w:p w:rsidR="004B4BEC" w:rsidRDefault="008A5C4D" w:rsidP="00572DEA">
      <w:pPr>
        <w:pStyle w:val="PargrafodaList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As provisões adicionais feitas no período, incluindo aumentos nas provisões existentes;</w:t>
      </w:r>
    </w:p>
    <w:p w:rsidR="004B4BEC" w:rsidRDefault="008A5C4D" w:rsidP="00572DEA">
      <w:pPr>
        <w:pStyle w:val="PargrafodaList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As quantias usadas (isto é, incorridas e debitadas à provisão) durante o período;</w:t>
      </w:r>
    </w:p>
    <w:p w:rsidR="004B4BEC" w:rsidRDefault="008A5C4D" w:rsidP="00572DEA">
      <w:pPr>
        <w:pStyle w:val="PargrafodaList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Quantias não usadas revertidas durante o período; </w:t>
      </w:r>
    </w:p>
    <w:p w:rsidR="004B4BEC" w:rsidRDefault="008A5C4D" w:rsidP="00572DEA">
      <w:pPr>
        <w:pStyle w:val="PargrafodaList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O aumento durante o período na quantia descontada proveniente da passagem do tempo e o efeito de qualquer alteração na taxa de desconto;</w:t>
      </w:r>
    </w:p>
    <w:p w:rsidR="004B4BEC" w:rsidRDefault="008A5C4D" w:rsidP="00572DEA">
      <w:pPr>
        <w:pStyle w:val="PargrafodaList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 quantia de qualquer reembolso esperado, declarando a quantia de qualquer activo que tenha sido reconhecido para esse reembolso esperado;</w:t>
      </w:r>
    </w:p>
    <w:p w:rsidR="004B4BEC" w:rsidRDefault="008A5C4D" w:rsidP="00572DEA">
      <w:pPr>
        <w:pStyle w:val="PargrafodaList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Informações pormenorizadas sobre as pr</w:t>
      </w:r>
      <w:r w:rsidR="004B4BEC">
        <w:rPr>
          <w:rFonts w:ascii="FuturaLightBT" w:eastAsiaTheme="minorEastAsia" w:hAnsi="FuturaLightBT"/>
          <w:iCs/>
          <w:lang w:eastAsia="pt-PT"/>
        </w:rPr>
        <w:t>ovisões de carácter ambiental;</w:t>
      </w:r>
    </w:p>
    <w:p w:rsidR="008A5C4D" w:rsidRPr="004B4BEC" w:rsidRDefault="008A5C4D" w:rsidP="00572DEA">
      <w:pPr>
        <w:pStyle w:val="PargrafodaList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lastRenderedPageBreak/>
        <w:t>Passivos de carácter ambiental, materialmente relevantes, que estejam incluídos em cada uma das rubricas do Balanço. Não é exigida informação comparativa.</w:t>
      </w:r>
    </w:p>
    <w:p w:rsidR="004B4BEC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11.2 — Para cada classe de passivo contingente à data do balanço, uma entidade deve divulgar uma breve descrição da natureza do passivo contingente.</w:t>
      </w: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br/>
        <w:t>11.3 — Quando um influxo de benefícios económicos for provável, uma entidade deve divulgar uma breve descrição da natureza dos</w:t>
      </w:r>
      <w:r w:rsidR="004B4BEC">
        <w:rPr>
          <w:rFonts w:ascii="FuturaLightBT" w:eastAsiaTheme="minorEastAsia" w:hAnsi="FuturaLightBT"/>
          <w:iCs/>
          <w:lang w:eastAsia="pt-PT"/>
        </w:rPr>
        <w:t xml:space="preserve"> activos contingentes à data do </w:t>
      </w:r>
      <w:r w:rsidRPr="008A5C4D">
        <w:rPr>
          <w:rFonts w:ascii="FuturaLightBT" w:eastAsiaTheme="minorEastAsia" w:hAnsi="FuturaLightBT"/>
          <w:iCs/>
          <w:lang w:eastAsia="pt-PT"/>
        </w:rPr>
        <w:t>balanço.</w:t>
      </w:r>
    </w:p>
    <w:p w:rsidR="004B4BEC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11.4 — A finalidade deste quadro é a de resumir os principais requisitos de reconhecimento deste capítulo, para provisões e passivos contingentes.</w:t>
      </w:r>
    </w:p>
    <w:p w:rsidR="004B4BEC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12" w:name="_Toc341278484"/>
      <w:r w:rsidRPr="008A5C4D">
        <w:rPr>
          <w:rFonts w:eastAsiaTheme="minorEastAsia"/>
          <w:sz w:val="22"/>
          <w:szCs w:val="22"/>
          <w:lang w:eastAsia="pt-PT"/>
        </w:rPr>
        <w:t>12 — Subsídios</w:t>
      </w:r>
      <w:r w:rsidR="005401AE">
        <w:rPr>
          <w:rFonts w:eastAsiaTheme="minorEastAsia"/>
          <w:sz w:val="22"/>
          <w:szCs w:val="22"/>
          <w:lang w:eastAsia="pt-PT"/>
        </w:rPr>
        <w:t xml:space="preserve"> do Governo e apoios do Governo</w:t>
      </w:r>
      <w:bookmarkEnd w:id="12"/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12.1 — Devem ser divulgados os assuntos seguintes:</w:t>
      </w:r>
    </w:p>
    <w:p w:rsidR="004B4BEC" w:rsidRDefault="008A5C4D" w:rsidP="00572DEA">
      <w:pPr>
        <w:pStyle w:val="PargrafodaList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 política contabilística adoptada para os subsídios do</w:t>
      </w:r>
      <w:r w:rsidRPr="004B4BEC">
        <w:rPr>
          <w:rFonts w:ascii="FuturaLightBT" w:eastAsiaTheme="minorEastAsia" w:hAnsi="FuturaLightBT"/>
          <w:iCs/>
          <w:lang w:eastAsia="pt-PT"/>
        </w:rPr>
        <w:br/>
        <w:t>Governo, incluindo os métodos de apresentação adoptados</w:t>
      </w:r>
      <w:r w:rsidRPr="004B4BEC">
        <w:rPr>
          <w:rFonts w:ascii="FuturaLightBT" w:eastAsiaTheme="minorEastAsia" w:hAnsi="FuturaLightBT"/>
          <w:iCs/>
          <w:lang w:eastAsia="pt-PT"/>
        </w:rPr>
        <w:br/>
        <w:t>nas demonstrações financeiras;</w:t>
      </w:r>
    </w:p>
    <w:p w:rsidR="004B4BEC" w:rsidRDefault="008A5C4D" w:rsidP="00572DEA">
      <w:pPr>
        <w:pStyle w:val="PargrafodaList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 natureza e extensão dos subsídios do Governo</w:t>
      </w:r>
      <w:r w:rsidRPr="004B4BEC">
        <w:rPr>
          <w:rFonts w:ascii="FuturaLightBT" w:eastAsiaTheme="minorEastAsia" w:hAnsi="FuturaLightBT"/>
          <w:iCs/>
          <w:lang w:eastAsia="pt-PT"/>
        </w:rPr>
        <w:br/>
        <w:t>reconhecidos nas demonstrações financeiras e indicação</w:t>
      </w:r>
      <w:r w:rsidRPr="004B4BEC">
        <w:rPr>
          <w:rFonts w:ascii="FuturaLightBT" w:eastAsiaTheme="minorEastAsia" w:hAnsi="FuturaLightBT"/>
          <w:iCs/>
          <w:lang w:eastAsia="pt-PT"/>
        </w:rPr>
        <w:br/>
        <w:t>de outras formas de apoio do Governo de que a entidade</w:t>
      </w:r>
      <w:r w:rsidRPr="004B4BEC">
        <w:rPr>
          <w:rFonts w:ascii="FuturaLightBT" w:eastAsiaTheme="minorEastAsia" w:hAnsi="FuturaLightBT"/>
          <w:iCs/>
          <w:lang w:eastAsia="pt-PT"/>
        </w:rPr>
        <w:br/>
        <w:t>t</w:t>
      </w:r>
      <w:r w:rsidR="004B4BEC">
        <w:rPr>
          <w:rFonts w:ascii="FuturaLightBT" w:eastAsiaTheme="minorEastAsia" w:hAnsi="FuturaLightBT"/>
          <w:iCs/>
          <w:lang w:eastAsia="pt-PT"/>
        </w:rPr>
        <w:t xml:space="preserve">enha directamente beneficiado; </w:t>
      </w:r>
    </w:p>
    <w:p w:rsidR="008A5C4D" w:rsidRDefault="008A5C4D" w:rsidP="00572DEA">
      <w:pPr>
        <w:pStyle w:val="PargrafodaList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Condições não satisfeitas e outras contingências ligadas</w:t>
      </w:r>
      <w:r w:rsidRPr="004B4BEC">
        <w:rPr>
          <w:rFonts w:ascii="FuturaLightBT" w:eastAsiaTheme="minorEastAsia" w:hAnsi="FuturaLightBT"/>
          <w:iCs/>
          <w:lang w:eastAsia="pt-PT"/>
        </w:rPr>
        <w:br/>
        <w:t>ao apoio do Governo que tenham sido reconhecidas.</w:t>
      </w:r>
    </w:p>
    <w:p w:rsidR="004B4BEC" w:rsidRPr="004B4BEC" w:rsidRDefault="004B4BEC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</w:p>
    <w:p w:rsidR="004B4BEC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bookmarkStart w:id="13" w:name="_Toc341278485"/>
      <w:r w:rsidRPr="008A5C4D">
        <w:rPr>
          <w:rFonts w:eastAsiaTheme="minorEastAsia"/>
          <w:sz w:val="22"/>
          <w:szCs w:val="22"/>
          <w:lang w:eastAsia="pt-PT"/>
        </w:rPr>
        <w:t>13 — Efeitos d</w:t>
      </w:r>
      <w:r w:rsidR="005401AE">
        <w:rPr>
          <w:rFonts w:eastAsiaTheme="minorEastAsia"/>
          <w:sz w:val="22"/>
          <w:szCs w:val="22"/>
          <w:lang w:eastAsia="pt-PT"/>
        </w:rPr>
        <w:t>e alterações em taxas de câmbio</w:t>
      </w:r>
      <w:bookmarkEnd w:id="13"/>
    </w:p>
    <w:p w:rsidR="004B4BEC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13.1 — Uma entidade deve divulgar a quantia das diferenças de câmbio reconhecidas nos resultados.</w:t>
      </w:r>
    </w:p>
    <w:p w:rsidR="004B4BEC" w:rsidRDefault="004B4BEC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</w:p>
    <w:p w:rsidR="004B4BEC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bookmarkStart w:id="14" w:name="_Toc341278486"/>
      <w:r w:rsidRPr="008A5C4D">
        <w:rPr>
          <w:rFonts w:eastAsiaTheme="minorEastAsia"/>
          <w:sz w:val="22"/>
          <w:szCs w:val="22"/>
          <w:lang w:eastAsia="pt-PT"/>
        </w:rPr>
        <w:lastRenderedPageBreak/>
        <w:t>14 — Impostos sob</w:t>
      </w:r>
      <w:r w:rsidR="005401AE">
        <w:rPr>
          <w:rFonts w:eastAsiaTheme="minorEastAsia"/>
          <w:sz w:val="22"/>
          <w:szCs w:val="22"/>
          <w:lang w:eastAsia="pt-PT"/>
        </w:rPr>
        <w:t>re o rendimento</w:t>
      </w:r>
      <w:bookmarkEnd w:id="14"/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14.1 — Devem ser divulgados separadamente:</w:t>
      </w:r>
    </w:p>
    <w:p w:rsidR="004B4BEC" w:rsidRDefault="008A5C4D" w:rsidP="00572DEA">
      <w:pPr>
        <w:pStyle w:val="PargrafodaList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Gasto (rendimento) por impostos correntes;</w:t>
      </w:r>
    </w:p>
    <w:p w:rsidR="004B4BEC" w:rsidRDefault="008A5C4D" w:rsidP="00572DEA">
      <w:pPr>
        <w:pStyle w:val="PargrafodaList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Quaisquer ajustamentos reconhecidos no período de impostos correntes de períodos anteriores;</w:t>
      </w:r>
    </w:p>
    <w:p w:rsidR="008A5C4D" w:rsidRPr="004B4BEC" w:rsidRDefault="008A5C4D" w:rsidP="00572DEA">
      <w:pPr>
        <w:pStyle w:val="PargrafodaList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 natureza e quantia do gasto (rendimento) de imposto reconhecido directamente em capitais próprios.</w:t>
      </w:r>
    </w:p>
    <w:p w:rsidR="004B4BEC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15" w:name="_Toc341278487"/>
      <w:r w:rsidR="005401AE">
        <w:rPr>
          <w:rFonts w:eastAsiaTheme="minorEastAsia"/>
          <w:sz w:val="22"/>
          <w:szCs w:val="22"/>
          <w:lang w:eastAsia="pt-PT"/>
        </w:rPr>
        <w:t>15 — Instrumentos financeiros</w:t>
      </w:r>
      <w:bookmarkEnd w:id="15"/>
    </w:p>
    <w:p w:rsidR="004B4BEC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 xml:space="preserve">15.1 — Uma entidade deve divulgar as bases de mensuração, bem como as </w:t>
      </w:r>
      <w:proofErr w:type="gramStart"/>
      <w:r w:rsidRPr="008A5C4D">
        <w:rPr>
          <w:rFonts w:ascii="FuturaLightBT" w:eastAsiaTheme="minorEastAsia" w:hAnsi="FuturaLightBT"/>
          <w:iCs/>
          <w:lang w:eastAsia="pt-PT"/>
        </w:rPr>
        <w:t>politicas</w:t>
      </w:r>
      <w:proofErr w:type="gramEnd"/>
      <w:r w:rsidRPr="008A5C4D">
        <w:rPr>
          <w:rFonts w:ascii="FuturaLightBT" w:eastAsiaTheme="minorEastAsia" w:hAnsi="FuturaLightBT"/>
          <w:iCs/>
          <w:lang w:eastAsia="pt-PT"/>
        </w:rPr>
        <w:t xml:space="preserve"> contabilísticas utilizadas para a contabilização de instrumentos financeiros, que sejam relevantes para a compreensão das demonstrações financeiras.</w:t>
      </w: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br/>
        <w:t>15.2 — Para todos os instrumentos financeiros mensurados ao justo valor, a entidade deve divulgar a respectiva cotação de mercado.</w:t>
      </w:r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 xml:space="preserve">15.3 — Se uma entidade tiver transferido activos financeiros para uma outra entidade numa transacção que não se qualifique para </w:t>
      </w:r>
      <w:proofErr w:type="spellStart"/>
      <w:r w:rsidRPr="008A5C4D">
        <w:rPr>
          <w:rFonts w:ascii="FuturaLightBT" w:eastAsiaTheme="minorEastAsia" w:hAnsi="FuturaLightBT"/>
          <w:iCs/>
          <w:lang w:eastAsia="pt-PT"/>
        </w:rPr>
        <w:t>desreconhecimento</w:t>
      </w:r>
      <w:proofErr w:type="spellEnd"/>
      <w:r w:rsidRPr="008A5C4D">
        <w:rPr>
          <w:rFonts w:ascii="FuturaLightBT" w:eastAsiaTheme="minorEastAsia" w:hAnsi="FuturaLightBT"/>
          <w:iCs/>
          <w:lang w:eastAsia="pt-PT"/>
        </w:rPr>
        <w:t>, a entidade deve divulgar, para cada classe de tais activos financeiros:</w:t>
      </w:r>
    </w:p>
    <w:p w:rsidR="004B4BEC" w:rsidRDefault="008A5C4D" w:rsidP="00572DEA">
      <w:pPr>
        <w:pStyle w:val="PargrafodaLista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 natureza dos activos;</w:t>
      </w:r>
    </w:p>
    <w:p w:rsidR="004B4BEC" w:rsidRDefault="008A5C4D" w:rsidP="00572DEA">
      <w:pPr>
        <w:pStyle w:val="PargrafodaLista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 natureza dos riscos e benefícios de detenção a que a entidade continue exposta;</w:t>
      </w:r>
    </w:p>
    <w:p w:rsidR="008A5C4D" w:rsidRPr="004B4BEC" w:rsidRDefault="008A5C4D" w:rsidP="00572DEA">
      <w:pPr>
        <w:pStyle w:val="PargrafodaLista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As quantias escrituradas dos activos e de quaisquer passivos associados que a entidade continue a reconhecer.</w:t>
      </w:r>
    </w:p>
    <w:p w:rsidR="008A5C4D" w:rsidRPr="008A5C4D" w:rsidRDefault="008A5C4D" w:rsidP="00572DE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t>15.4 — Quando uma entidade tenha dado em garantia, penhor ou promessa de penhor activos financeiros, deverá divulgar:</w:t>
      </w:r>
    </w:p>
    <w:p w:rsidR="004B4BEC" w:rsidRDefault="008A5C4D" w:rsidP="00572DEA">
      <w:pPr>
        <w:pStyle w:val="PargrafodaLista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A quantia escriturad</w:t>
      </w:r>
      <w:r w:rsidR="004B4BEC">
        <w:rPr>
          <w:rFonts w:ascii="FuturaLightBT" w:eastAsiaTheme="minorEastAsia" w:hAnsi="FuturaLightBT"/>
          <w:iCs/>
          <w:lang w:eastAsia="pt-PT"/>
        </w:rPr>
        <w:t>a de tais activos financeiros;</w:t>
      </w:r>
    </w:p>
    <w:p w:rsidR="008A5C4D" w:rsidRPr="004B4BEC" w:rsidRDefault="008A5C4D" w:rsidP="00572DEA">
      <w:pPr>
        <w:pStyle w:val="PargrafodaLista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07" w:hanging="510"/>
        <w:jc w:val="both"/>
        <w:rPr>
          <w:rFonts w:ascii="FuturaLightBT" w:eastAsiaTheme="minorEastAsia" w:hAnsi="FuturaLightBT"/>
          <w:iCs/>
          <w:lang w:eastAsia="pt-PT"/>
        </w:rPr>
      </w:pPr>
      <w:r w:rsidRPr="004B4BEC">
        <w:rPr>
          <w:rFonts w:ascii="FuturaLightBT" w:eastAsiaTheme="minorEastAsia" w:hAnsi="FuturaLightBT"/>
          <w:iCs/>
          <w:lang w:eastAsia="pt-PT"/>
        </w:rPr>
        <w:t>Os termos e condições relativos à garantia, penhor ou promessa de penhor.</w:t>
      </w:r>
    </w:p>
    <w:p w:rsidR="004B4BEC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15.5 — Para empréstimos contraídos reconhecidos à data do balanço, uma entidade deve divulgar as situações de incumprimento.</w:t>
      </w: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lastRenderedPageBreak/>
        <w:br/>
        <w:t>15.6 — As sociedades anónimas devem divulgar o número de acções representativas do capital social da entidade, as respectivas categorias e o seu valor nominal.</w:t>
      </w:r>
    </w:p>
    <w:p w:rsidR="004B4BEC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</w:r>
      <w:proofErr w:type="gramStart"/>
      <w:r w:rsidRPr="008A5C4D">
        <w:rPr>
          <w:rFonts w:ascii="FuturaLightBT" w:eastAsiaTheme="minorEastAsia" w:hAnsi="FuturaLightBT"/>
          <w:iCs/>
          <w:lang w:eastAsia="pt-PT"/>
        </w:rPr>
        <w:t>do</w:t>
      </w:r>
      <w:proofErr w:type="gramEnd"/>
      <w:r w:rsidRPr="008A5C4D">
        <w:rPr>
          <w:rFonts w:ascii="FuturaLightBT" w:eastAsiaTheme="minorEastAsia" w:hAnsi="FuturaLightBT"/>
          <w:iCs/>
          <w:lang w:eastAsia="pt-PT"/>
        </w:rPr>
        <w:t xml:space="preserve"> IVA e a alínea c) do n.º 1 do artigo 30.º do Regime do IVA nas Transacções Intracomunitárias, bem como as respectivas instruções de preenchimento, que se publicam em anexo.</w:t>
      </w:r>
    </w:p>
    <w:p w:rsidR="00572DEA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br/>
        <w:t>15.7 — A entidade deve divulgar as quantias de aumentos de capital realizados no período e a dedução efectuada como custos de emissão bem como, separadamente, as quantias e descrição de outros instrumentos de capital próprio emitidos e a respectiva quantia acumulada à data do balanço. </w:t>
      </w:r>
      <w:r w:rsidRPr="008A5C4D">
        <w:rPr>
          <w:rFonts w:ascii="FuturaLightBT" w:eastAsiaTheme="minorEastAsia" w:hAnsi="FuturaLightBT"/>
          <w:iCs/>
          <w:lang w:eastAsia="pt-PT"/>
        </w:rPr>
        <w:br/>
      </w:r>
    </w:p>
    <w:p w:rsidR="00572DEA" w:rsidRPr="005401AE" w:rsidRDefault="005401AE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bookmarkStart w:id="16" w:name="_Toc341278488"/>
      <w:r>
        <w:rPr>
          <w:rFonts w:eastAsiaTheme="minorEastAsia"/>
          <w:sz w:val="22"/>
          <w:szCs w:val="22"/>
          <w:lang w:eastAsia="pt-PT"/>
        </w:rPr>
        <w:t>16 — Benefícios dos empregados</w:t>
      </w:r>
      <w:bookmarkEnd w:id="16"/>
    </w:p>
    <w:p w:rsidR="004B4BEC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  <w:t>16.1 — As entidades devem divulgar o número médio de empregados durante o ano.</w:t>
      </w:r>
    </w:p>
    <w:p w:rsidR="004B4BEC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17" w:name="_Toc341278489"/>
      <w:r w:rsidRPr="008A5C4D">
        <w:rPr>
          <w:rFonts w:eastAsiaTheme="minorEastAsia"/>
          <w:sz w:val="22"/>
          <w:szCs w:val="22"/>
          <w:lang w:eastAsia="pt-PT"/>
        </w:rPr>
        <w:t>17 — Divulgações exig</w:t>
      </w:r>
      <w:r w:rsidR="005401AE">
        <w:rPr>
          <w:rFonts w:eastAsiaTheme="minorEastAsia"/>
          <w:sz w:val="22"/>
          <w:szCs w:val="22"/>
          <w:lang w:eastAsia="pt-PT"/>
        </w:rPr>
        <w:t>idas por outros diplomas legais</w:t>
      </w:r>
      <w:bookmarkEnd w:id="17"/>
    </w:p>
    <w:p w:rsidR="004B4BEC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br/>
        <w:t>17.1 — ____________________________________</w:t>
      </w:r>
    </w:p>
    <w:p w:rsidR="004B4BEC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</w:r>
      <w:r w:rsidRPr="008A5C4D">
        <w:rPr>
          <w:rFonts w:ascii="FuturaLightBT" w:eastAsiaTheme="minorEastAsia" w:hAnsi="FuturaLightBT"/>
          <w:iCs/>
          <w:lang w:eastAsia="pt-PT"/>
        </w:rPr>
        <w:br/>
        <w:t>17.2 — ____________________________________</w:t>
      </w:r>
    </w:p>
    <w:p w:rsidR="004B4BEC" w:rsidRPr="005401AE" w:rsidRDefault="008A5C4D" w:rsidP="005401AE">
      <w:pPr>
        <w:pStyle w:val="Cabealho2"/>
        <w:pBdr>
          <w:bottom w:val="single" w:sz="4" w:space="0" w:color="548DD4" w:themeColor="text2" w:themeTint="99"/>
        </w:pBdr>
        <w:rPr>
          <w:rFonts w:eastAsiaTheme="minorEastAsia"/>
          <w:sz w:val="22"/>
          <w:szCs w:val="22"/>
          <w:lang w:eastAsia="pt-PT"/>
        </w:rPr>
      </w:pP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r w:rsidRPr="008A5C4D">
        <w:rPr>
          <w:rFonts w:ascii="FuturaLightBT" w:eastAsiaTheme="minorEastAsia" w:hAnsi="FuturaLightBT" w:cstheme="minorBidi"/>
          <w:iCs/>
          <w:color w:val="auto"/>
          <w:sz w:val="22"/>
          <w:szCs w:val="22"/>
          <w:lang w:eastAsia="pt-PT"/>
        </w:rPr>
        <w:br/>
      </w:r>
      <w:bookmarkStart w:id="18" w:name="_Toc341278490"/>
      <w:r w:rsidR="005401AE">
        <w:rPr>
          <w:rFonts w:eastAsiaTheme="minorEastAsia"/>
          <w:sz w:val="22"/>
          <w:szCs w:val="22"/>
          <w:lang w:eastAsia="pt-PT"/>
        </w:rPr>
        <w:t>18 — Outras informações</w:t>
      </w:r>
      <w:bookmarkEnd w:id="18"/>
    </w:p>
    <w:p w:rsidR="008A5C4D" w:rsidRPr="008A5C4D" w:rsidRDefault="008A5C4D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  <w:r w:rsidRPr="008A5C4D">
        <w:rPr>
          <w:rFonts w:ascii="FuturaLightBT" w:eastAsiaTheme="minorEastAsia" w:hAnsi="FuturaLightBT"/>
          <w:iCs/>
          <w:lang w:eastAsia="pt-PT"/>
        </w:rPr>
        <w:br/>
      </w:r>
    </w:p>
    <w:p w:rsidR="00D901F7" w:rsidRPr="008A5C4D" w:rsidRDefault="00D901F7" w:rsidP="004B4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FuturaLightBT" w:eastAsiaTheme="minorEastAsia" w:hAnsi="FuturaLightBT"/>
          <w:iCs/>
          <w:lang w:eastAsia="pt-PT"/>
        </w:rPr>
      </w:pPr>
    </w:p>
    <w:sectPr w:rsidR="00D901F7" w:rsidRPr="008A5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Light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76"/>
    <w:multiLevelType w:val="hybridMultilevel"/>
    <w:tmpl w:val="4154A268"/>
    <w:lvl w:ilvl="0" w:tplc="BC022F18">
      <w:start w:val="1"/>
      <w:numFmt w:val="lowerRoman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BC6664"/>
    <w:multiLevelType w:val="hybridMultilevel"/>
    <w:tmpl w:val="90B849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CFE"/>
    <w:multiLevelType w:val="hybridMultilevel"/>
    <w:tmpl w:val="A728589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4A7A"/>
    <w:multiLevelType w:val="hybridMultilevel"/>
    <w:tmpl w:val="D8AA77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80692"/>
    <w:multiLevelType w:val="hybridMultilevel"/>
    <w:tmpl w:val="88F6AE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3BDB"/>
    <w:multiLevelType w:val="hybridMultilevel"/>
    <w:tmpl w:val="1C3A63A0"/>
    <w:lvl w:ilvl="0" w:tplc="BC022F18">
      <w:start w:val="1"/>
      <w:numFmt w:val="lowerRoman"/>
      <w:lvlText w:val="%1)"/>
      <w:lvlJc w:val="left"/>
      <w:pPr>
        <w:ind w:left="2730" w:hanging="23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955F7"/>
    <w:multiLevelType w:val="hybridMultilevel"/>
    <w:tmpl w:val="49C800CA"/>
    <w:lvl w:ilvl="0" w:tplc="72E66114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7723"/>
    <w:multiLevelType w:val="hybridMultilevel"/>
    <w:tmpl w:val="C1267A02"/>
    <w:lvl w:ilvl="0" w:tplc="72E66114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23FBC"/>
    <w:multiLevelType w:val="hybridMultilevel"/>
    <w:tmpl w:val="428673DC"/>
    <w:lvl w:ilvl="0" w:tplc="32C8A040">
      <w:start w:val="1"/>
      <w:numFmt w:val="lowerLetter"/>
      <w:lvlText w:val="%1)"/>
      <w:lvlJc w:val="left"/>
      <w:pPr>
        <w:ind w:left="2070" w:hanging="1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4470D"/>
    <w:multiLevelType w:val="hybridMultilevel"/>
    <w:tmpl w:val="D3CCE6D0"/>
    <w:lvl w:ilvl="0" w:tplc="08160017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212"/>
    <w:multiLevelType w:val="hybridMultilevel"/>
    <w:tmpl w:val="2D104B78"/>
    <w:lvl w:ilvl="0" w:tplc="449EF0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17A1E"/>
    <w:multiLevelType w:val="hybridMultilevel"/>
    <w:tmpl w:val="650031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E0E74"/>
    <w:multiLevelType w:val="hybridMultilevel"/>
    <w:tmpl w:val="5BECEF02"/>
    <w:lvl w:ilvl="0" w:tplc="E1E0136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635CB"/>
    <w:multiLevelType w:val="hybridMultilevel"/>
    <w:tmpl w:val="F2E4969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01D6"/>
    <w:multiLevelType w:val="hybridMultilevel"/>
    <w:tmpl w:val="28605D8A"/>
    <w:lvl w:ilvl="0" w:tplc="E1E0136C">
      <w:start w:val="1"/>
      <w:numFmt w:val="lowerLetter"/>
      <w:lvlText w:val="%1)"/>
      <w:lvlJc w:val="left"/>
      <w:pPr>
        <w:ind w:left="10485" w:hanging="6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90" w:hanging="360"/>
      </w:pPr>
    </w:lvl>
    <w:lvl w:ilvl="2" w:tplc="0816001B" w:tentative="1">
      <w:start w:val="1"/>
      <w:numFmt w:val="lowerRoman"/>
      <w:lvlText w:val="%3."/>
      <w:lvlJc w:val="right"/>
      <w:pPr>
        <w:ind w:left="11610" w:hanging="180"/>
      </w:pPr>
    </w:lvl>
    <w:lvl w:ilvl="3" w:tplc="0816000F" w:tentative="1">
      <w:start w:val="1"/>
      <w:numFmt w:val="decimal"/>
      <w:lvlText w:val="%4."/>
      <w:lvlJc w:val="left"/>
      <w:pPr>
        <w:ind w:left="12330" w:hanging="360"/>
      </w:pPr>
    </w:lvl>
    <w:lvl w:ilvl="4" w:tplc="08160019" w:tentative="1">
      <w:start w:val="1"/>
      <w:numFmt w:val="lowerLetter"/>
      <w:lvlText w:val="%5."/>
      <w:lvlJc w:val="left"/>
      <w:pPr>
        <w:ind w:left="13050" w:hanging="360"/>
      </w:pPr>
    </w:lvl>
    <w:lvl w:ilvl="5" w:tplc="0816001B" w:tentative="1">
      <w:start w:val="1"/>
      <w:numFmt w:val="lowerRoman"/>
      <w:lvlText w:val="%6."/>
      <w:lvlJc w:val="right"/>
      <w:pPr>
        <w:ind w:left="13770" w:hanging="180"/>
      </w:pPr>
    </w:lvl>
    <w:lvl w:ilvl="6" w:tplc="0816000F" w:tentative="1">
      <w:start w:val="1"/>
      <w:numFmt w:val="decimal"/>
      <w:lvlText w:val="%7."/>
      <w:lvlJc w:val="left"/>
      <w:pPr>
        <w:ind w:left="14490" w:hanging="360"/>
      </w:pPr>
    </w:lvl>
    <w:lvl w:ilvl="7" w:tplc="08160019" w:tentative="1">
      <w:start w:val="1"/>
      <w:numFmt w:val="lowerLetter"/>
      <w:lvlText w:val="%8."/>
      <w:lvlJc w:val="left"/>
      <w:pPr>
        <w:ind w:left="15210" w:hanging="360"/>
      </w:pPr>
    </w:lvl>
    <w:lvl w:ilvl="8" w:tplc="0816001B" w:tentative="1">
      <w:start w:val="1"/>
      <w:numFmt w:val="lowerRoman"/>
      <w:lvlText w:val="%9."/>
      <w:lvlJc w:val="right"/>
      <w:pPr>
        <w:ind w:left="15930" w:hanging="180"/>
      </w:pPr>
    </w:lvl>
  </w:abstractNum>
  <w:abstractNum w:abstractNumId="15">
    <w:nsid w:val="2D6B0FFE"/>
    <w:multiLevelType w:val="hybridMultilevel"/>
    <w:tmpl w:val="5C860A24"/>
    <w:lvl w:ilvl="0" w:tplc="F906E32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02D8D"/>
    <w:multiLevelType w:val="hybridMultilevel"/>
    <w:tmpl w:val="3AC61286"/>
    <w:lvl w:ilvl="0" w:tplc="BC022F18">
      <w:start w:val="1"/>
      <w:numFmt w:val="lowerRoman"/>
      <w:lvlText w:val="%1)"/>
      <w:lvlJc w:val="left"/>
      <w:pPr>
        <w:ind w:left="2730" w:hanging="23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074DB"/>
    <w:multiLevelType w:val="hybridMultilevel"/>
    <w:tmpl w:val="8A8C8E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7C55"/>
    <w:multiLevelType w:val="hybridMultilevel"/>
    <w:tmpl w:val="5BF67F34"/>
    <w:lvl w:ilvl="0" w:tplc="89C27F1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90756"/>
    <w:multiLevelType w:val="hybridMultilevel"/>
    <w:tmpl w:val="71E02FE4"/>
    <w:lvl w:ilvl="0" w:tplc="9E50DADA">
      <w:start w:val="1"/>
      <w:numFmt w:val="lowerLetter"/>
      <w:lvlText w:val="%1)"/>
      <w:lvlJc w:val="left"/>
      <w:pPr>
        <w:ind w:left="1335" w:hanging="9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65F34"/>
    <w:multiLevelType w:val="hybridMultilevel"/>
    <w:tmpl w:val="569C1454"/>
    <w:lvl w:ilvl="0" w:tplc="BC022F18">
      <w:start w:val="1"/>
      <w:numFmt w:val="lowerRoman"/>
      <w:lvlText w:val="%1)"/>
      <w:lvlJc w:val="left"/>
      <w:pPr>
        <w:ind w:left="2730" w:hanging="23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24127"/>
    <w:multiLevelType w:val="hybridMultilevel"/>
    <w:tmpl w:val="82FEB8D8"/>
    <w:lvl w:ilvl="0" w:tplc="A60A6A7C">
      <w:start w:val="1"/>
      <w:numFmt w:val="lowerLetter"/>
      <w:lvlText w:val="%1)"/>
      <w:lvlJc w:val="left"/>
      <w:pPr>
        <w:ind w:left="1335" w:hanging="9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F40D5"/>
    <w:multiLevelType w:val="hybridMultilevel"/>
    <w:tmpl w:val="E4FC15F4"/>
    <w:lvl w:ilvl="0" w:tplc="F906E32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21D9B"/>
    <w:multiLevelType w:val="hybridMultilevel"/>
    <w:tmpl w:val="FC9A2C0C"/>
    <w:lvl w:ilvl="0" w:tplc="EFFC3DD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3301C"/>
    <w:multiLevelType w:val="hybridMultilevel"/>
    <w:tmpl w:val="927C1B16"/>
    <w:lvl w:ilvl="0" w:tplc="89C27F1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90385"/>
    <w:multiLevelType w:val="hybridMultilevel"/>
    <w:tmpl w:val="6C185B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24C74"/>
    <w:multiLevelType w:val="hybridMultilevel"/>
    <w:tmpl w:val="83FA7D9A"/>
    <w:lvl w:ilvl="0" w:tplc="9E50DADA">
      <w:start w:val="1"/>
      <w:numFmt w:val="lowerLetter"/>
      <w:lvlText w:val="%1)"/>
      <w:lvlJc w:val="left"/>
      <w:pPr>
        <w:ind w:left="1335" w:hanging="9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438F3"/>
    <w:multiLevelType w:val="hybridMultilevel"/>
    <w:tmpl w:val="F98AEBF4"/>
    <w:lvl w:ilvl="0" w:tplc="81B47884">
      <w:start w:val="1"/>
      <w:numFmt w:val="lowerLetter"/>
      <w:lvlText w:val="%1)"/>
      <w:lvlJc w:val="left"/>
      <w:pPr>
        <w:ind w:left="990" w:hanging="63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13AB"/>
    <w:multiLevelType w:val="hybridMultilevel"/>
    <w:tmpl w:val="0826F1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28"/>
  </w:num>
  <w:num w:numId="5">
    <w:abstractNumId w:val="2"/>
  </w:num>
  <w:num w:numId="6">
    <w:abstractNumId w:val="21"/>
  </w:num>
  <w:num w:numId="7">
    <w:abstractNumId w:val="11"/>
  </w:num>
  <w:num w:numId="8">
    <w:abstractNumId w:val="3"/>
  </w:num>
  <w:num w:numId="9">
    <w:abstractNumId w:val="25"/>
  </w:num>
  <w:num w:numId="10">
    <w:abstractNumId w:val="4"/>
  </w:num>
  <w:num w:numId="11">
    <w:abstractNumId w:val="13"/>
  </w:num>
  <w:num w:numId="12">
    <w:abstractNumId w:val="1"/>
  </w:num>
  <w:num w:numId="13">
    <w:abstractNumId w:val="17"/>
  </w:num>
  <w:num w:numId="14">
    <w:abstractNumId w:val="16"/>
  </w:num>
  <w:num w:numId="15">
    <w:abstractNumId w:val="20"/>
  </w:num>
  <w:num w:numId="16">
    <w:abstractNumId w:val="7"/>
  </w:num>
  <w:num w:numId="17">
    <w:abstractNumId w:val="6"/>
  </w:num>
  <w:num w:numId="18">
    <w:abstractNumId w:val="24"/>
  </w:num>
  <w:num w:numId="19">
    <w:abstractNumId w:val="18"/>
  </w:num>
  <w:num w:numId="20">
    <w:abstractNumId w:val="19"/>
  </w:num>
  <w:num w:numId="21">
    <w:abstractNumId w:val="26"/>
  </w:num>
  <w:num w:numId="22">
    <w:abstractNumId w:val="8"/>
  </w:num>
  <w:num w:numId="23">
    <w:abstractNumId w:val="23"/>
  </w:num>
  <w:num w:numId="24">
    <w:abstractNumId w:val="22"/>
  </w:num>
  <w:num w:numId="25">
    <w:abstractNumId w:val="15"/>
  </w:num>
  <w:num w:numId="26">
    <w:abstractNumId w:val="27"/>
  </w:num>
  <w:num w:numId="27">
    <w:abstractNumId w:val="10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4D"/>
    <w:rsid w:val="004B4BEC"/>
    <w:rsid w:val="005401AE"/>
    <w:rsid w:val="00572DEA"/>
    <w:rsid w:val="008A5C4D"/>
    <w:rsid w:val="00D901F7"/>
    <w:rsid w:val="00D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72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72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8A5C4D"/>
  </w:style>
  <w:style w:type="paragraph" w:styleId="PargrafodaLista">
    <w:name w:val="List Paragraph"/>
    <w:basedOn w:val="Normal"/>
    <w:uiPriority w:val="34"/>
    <w:qFormat/>
    <w:rsid w:val="008A5C4D"/>
    <w:pPr>
      <w:ind w:left="720"/>
      <w:contextualSpacing/>
    </w:pPr>
  </w:style>
  <w:style w:type="paragraph" w:styleId="Ttulo">
    <w:name w:val="Title"/>
    <w:basedOn w:val="Normal"/>
    <w:next w:val="Normal"/>
    <w:link w:val="TtuloCarcter"/>
    <w:uiPriority w:val="10"/>
    <w:qFormat/>
    <w:rsid w:val="004B4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B4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72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72DEA"/>
    <w:pPr>
      <w:outlineLvl w:val="9"/>
    </w:pPr>
    <w:rPr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7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72DEA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72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dice2">
    <w:name w:val="toc 2"/>
    <w:basedOn w:val="Normal"/>
    <w:next w:val="Normal"/>
    <w:autoRedefine/>
    <w:uiPriority w:val="39"/>
    <w:unhideWhenUsed/>
    <w:rsid w:val="005401AE"/>
    <w:pPr>
      <w:tabs>
        <w:tab w:val="right" w:leader="dot" w:pos="8494"/>
      </w:tabs>
      <w:spacing w:after="100" w:line="480" w:lineRule="auto"/>
      <w:ind w:left="221"/>
    </w:pPr>
  </w:style>
  <w:style w:type="character" w:styleId="Hiperligao">
    <w:name w:val="Hyperlink"/>
    <w:basedOn w:val="Tipodeletrapredefinidodopargrafo"/>
    <w:uiPriority w:val="99"/>
    <w:unhideWhenUsed/>
    <w:rsid w:val="00540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72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72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8A5C4D"/>
  </w:style>
  <w:style w:type="paragraph" w:styleId="PargrafodaLista">
    <w:name w:val="List Paragraph"/>
    <w:basedOn w:val="Normal"/>
    <w:uiPriority w:val="34"/>
    <w:qFormat/>
    <w:rsid w:val="008A5C4D"/>
    <w:pPr>
      <w:ind w:left="720"/>
      <w:contextualSpacing/>
    </w:pPr>
  </w:style>
  <w:style w:type="paragraph" w:styleId="Ttulo">
    <w:name w:val="Title"/>
    <w:basedOn w:val="Normal"/>
    <w:next w:val="Normal"/>
    <w:link w:val="TtuloCarcter"/>
    <w:uiPriority w:val="10"/>
    <w:qFormat/>
    <w:rsid w:val="004B4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B4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72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72DEA"/>
    <w:pPr>
      <w:outlineLvl w:val="9"/>
    </w:pPr>
    <w:rPr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7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72DEA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72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dice2">
    <w:name w:val="toc 2"/>
    <w:basedOn w:val="Normal"/>
    <w:next w:val="Normal"/>
    <w:autoRedefine/>
    <w:uiPriority w:val="39"/>
    <w:unhideWhenUsed/>
    <w:rsid w:val="005401AE"/>
    <w:pPr>
      <w:tabs>
        <w:tab w:val="right" w:leader="dot" w:pos="8494"/>
      </w:tabs>
      <w:spacing w:after="100" w:line="480" w:lineRule="auto"/>
      <w:ind w:left="221"/>
    </w:pPr>
  </w:style>
  <w:style w:type="character" w:styleId="Hiperligao">
    <w:name w:val="Hyperlink"/>
    <w:basedOn w:val="Tipodeletrapredefinidodopargrafo"/>
    <w:uiPriority w:val="99"/>
    <w:unhideWhenUsed/>
    <w:rsid w:val="0054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3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0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32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7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4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593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9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89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3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5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3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86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95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13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2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62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5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0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10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90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24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62CB-27EC-4A74-B12E-04E3DA4C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2355</Words>
  <Characters>12722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Rebelo</dc:creator>
  <cp:lastModifiedBy>Rebelo</cp:lastModifiedBy>
  <cp:revision>2</cp:revision>
  <dcterms:created xsi:type="dcterms:W3CDTF">2012-11-21T15:49:00Z</dcterms:created>
  <dcterms:modified xsi:type="dcterms:W3CDTF">2012-11-21T16:35:00Z</dcterms:modified>
</cp:coreProperties>
</file>